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«</w:t>
      </w:r>
      <w:r>
        <w:rPr>
          <w:sz w:val="28"/>
        </w:rPr>
        <w:t xml:space="preserve">Предъявлен иск о взыскании </w:t>
      </w:r>
      <w:r>
        <w:rPr>
          <w:rFonts w:ascii="Times New Roman" w:hAnsi="Times New Roman"/>
          <w:b w:val="0"/>
          <w:i w:val="0"/>
          <w:caps w:val="0"/>
          <w:smallCaps w:val="0"/>
          <w:color w:val="000000"/>
          <w:sz w:val="28"/>
        </w:rPr>
        <w:t>денежных средств в интересах пенсионера</w:t>
      </w:r>
      <w:r>
        <w:rPr>
          <w:sz w:val="28"/>
        </w:rPr>
        <w:t>»</w:t>
      </w:r>
    </w:p>
    <w:p w14:paraId="06000000">
      <w:pPr>
        <w:widowControl w:val="0"/>
        <w:ind w:firstLine="709"/>
        <w:jc w:val="both"/>
        <w:rPr>
          <w:sz w:val="28"/>
        </w:rPr>
      </w:pPr>
    </w:p>
    <w:p w14:paraId="07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 xml:space="preserve">Прокуратура Чагодощенского района провела проверку исполнения действующего законодательства </w:t>
      </w:r>
      <w:r>
        <w:rPr>
          <w:rFonts w:ascii="Times New Roman" w:hAnsi="Times New Roman"/>
          <w:sz w:val="28"/>
        </w:rPr>
        <w:t>о защите прав потребителей в части исполнения обязательств по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договору купли-продажи вездехода.</w:t>
      </w:r>
    </w:p>
    <w:p w14:paraId="08000000">
      <w:pPr>
        <w:widowControl w:val="1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Установлено, что между местным жителем, являющимся пенсионером по старости</w:t>
      </w:r>
      <w:r>
        <w:rPr>
          <w:rFonts w:ascii="Times New Roman" w:hAnsi="Times New Roman"/>
          <w:sz w:val="28"/>
        </w:rPr>
        <w:t xml:space="preserve"> и обществом с ограниченной ответственностью</w:t>
      </w:r>
      <w:r>
        <w:rPr>
          <w:rFonts w:ascii="Times New Roman" w:hAnsi="Times New Roman"/>
          <w:sz w:val="28"/>
        </w:rPr>
        <w:t xml:space="preserve"> заключен договор купли-продажи вездехода, согласно которому продавец обязался передать покупателю новый вездеход стоимостью 300 000 руб. </w:t>
      </w:r>
    </w:p>
    <w:p w14:paraId="09000000">
      <w:pPr>
        <w:widowControl w:val="1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Оплата товара произведена </w:t>
      </w:r>
      <w:r>
        <w:rPr>
          <w:rFonts w:ascii="Times New Roman" w:hAnsi="Times New Roman"/>
          <w:sz w:val="28"/>
        </w:rPr>
        <w:t>покупателем</w:t>
      </w:r>
      <w:r>
        <w:rPr>
          <w:rFonts w:ascii="Times New Roman" w:hAnsi="Times New Roman"/>
          <w:sz w:val="28"/>
        </w:rPr>
        <w:t xml:space="preserve"> в полном объеме</w:t>
      </w:r>
      <w:r>
        <w:rPr>
          <w:rFonts w:ascii="Times New Roman" w:hAnsi="Times New Roman"/>
          <w:sz w:val="28"/>
        </w:rPr>
        <w:t>.</w:t>
      </w:r>
    </w:p>
    <w:p w14:paraId="0A000000">
      <w:pPr>
        <w:widowControl w:val="1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днако, в указанные в договоре сроки, вездеход истцу не передан, возврат денежных средств, уплаченных за товар, не произведен.</w:t>
      </w:r>
    </w:p>
    <w:p w14:paraId="0B000000">
      <w:pPr>
        <w:widowControl w:val="1"/>
        <w:ind w:firstLine="709"/>
        <w:jc w:val="both"/>
        <w:rPr>
          <w:color w:val="000000"/>
          <w:sz w:val="28"/>
        </w:rPr>
      </w:pPr>
      <w:r>
        <w:rPr>
          <w:sz w:val="28"/>
        </w:rPr>
        <w:t>В связи с этим,</w:t>
      </w:r>
      <w:r>
        <w:rPr>
          <w:sz w:val="28"/>
        </w:rPr>
        <w:t xml:space="preserve"> прокуратура района обратилась в Бабаевский районный суд с требованием о взыскании в пользу пенсионера </w:t>
      </w:r>
      <w:r>
        <w:rPr>
          <w:rFonts w:ascii="Times New Roman" w:hAnsi="Times New Roman"/>
          <w:b w:val="0"/>
          <w:i w:val="0"/>
          <w:caps w:val="0"/>
          <w:smallCaps w:val="0"/>
          <w:color w:val="000000"/>
          <w:sz w:val="28"/>
        </w:rPr>
        <w:t xml:space="preserve">денежных средств, уплаченных за товар, штрафа </w:t>
      </w:r>
      <w:r>
        <w:rPr>
          <w:rFonts w:ascii="Times New Roman" w:hAnsi="Times New Roman"/>
          <w:b w:val="0"/>
          <w:i w:val="0"/>
          <w:caps w:val="0"/>
          <w:smallCaps w:val="0"/>
          <w:color w:val="000000"/>
          <w:sz w:val="28"/>
        </w:rPr>
        <w:t>за несоблюдение в добровольном порядке удовлетворения требований потребителя</w:t>
      </w:r>
      <w:r>
        <w:rPr>
          <w:sz w:val="28"/>
        </w:rPr>
        <w:t xml:space="preserve"> с продавца вездехода</w:t>
      </w:r>
      <w:r>
        <w:rPr>
          <w:color w:val="000000"/>
          <w:sz w:val="28"/>
        </w:rPr>
        <w:t>.</w:t>
      </w:r>
    </w:p>
    <w:p w14:paraId="0C000000">
      <w:pPr>
        <w:widowControl w:val="1"/>
        <w:ind w:firstLine="709"/>
        <w:jc w:val="both"/>
        <w:rPr>
          <w:sz w:val="28"/>
        </w:rPr>
      </w:pPr>
    </w:p>
    <w:p w14:paraId="0D000000">
      <w:pPr>
        <w:widowControl w:val="1"/>
        <w:ind w:firstLine="709"/>
        <w:jc w:val="right"/>
        <w:rPr>
          <w:sz w:val="28"/>
        </w:rPr>
      </w:pPr>
      <w:r>
        <w:rPr>
          <w:sz w:val="28"/>
        </w:rPr>
        <w:t xml:space="preserve">  </w:t>
      </w:r>
      <w:r>
        <w:rPr>
          <w:sz w:val="28"/>
        </w:rPr>
        <w:t xml:space="preserve">Прокуратура </w:t>
      </w:r>
      <w:r>
        <w:rPr>
          <w:sz w:val="28"/>
        </w:rPr>
        <w:t>Чагодощенского</w:t>
      </w:r>
      <w:r>
        <w:rPr>
          <w:sz w:val="28"/>
        </w:rPr>
        <w:t xml:space="preserve"> района</w:t>
      </w:r>
    </w:p>
    <w:p w14:paraId="0E000000">
      <w:pPr>
        <w:widowControl w:val="1"/>
        <w:ind w:firstLine="709"/>
        <w:jc w:val="right"/>
        <w:rPr>
          <w:sz w:val="28"/>
        </w:rPr>
      </w:pPr>
    </w:p>
    <w:p w14:paraId="0F000000">
      <w:pPr>
        <w:widowControl w:val="1"/>
        <w:ind w:firstLine="709"/>
        <w:jc w:val="right"/>
        <w:rPr>
          <w:sz w:val="28"/>
        </w:rPr>
      </w:pPr>
    </w:p>
    <w:p w14:paraId="10000000">
      <w:pPr>
        <w:widowControl w:val="1"/>
        <w:ind w:firstLine="709"/>
        <w:jc w:val="right"/>
        <w:rPr>
          <w:sz w:val="28"/>
        </w:rPr>
      </w:pPr>
    </w:p>
    <w:p w14:paraId="11000000">
      <w:pPr>
        <w:widowControl w:val="1"/>
        <w:ind w:firstLine="709"/>
        <w:jc w:val="right"/>
        <w:rPr>
          <w:sz w:val="28"/>
        </w:rPr>
      </w:pPr>
    </w:p>
    <w:p w14:paraId="1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Прокуратура Чагодощен</w:t>
      </w:r>
      <w:r>
        <w:rPr>
          <w:rFonts w:ascii="Times New Roman" w:hAnsi="Times New Roman"/>
          <w:sz w:val="28"/>
        </w:rPr>
        <w:t>ского</w:t>
      </w:r>
      <w:r>
        <w:rPr>
          <w:rFonts w:ascii="Times New Roman" w:hAnsi="Times New Roman"/>
          <w:sz w:val="28"/>
        </w:rPr>
        <w:t xml:space="preserve"> района провела проверку по обращению местной жительницы об унижении ее чести и достоинства».</w:t>
      </w:r>
    </w:p>
    <w:p w14:paraId="1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14:paraId="1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Установлено, что в </w:t>
      </w:r>
      <w:r>
        <w:rPr>
          <w:rFonts w:ascii="Times New Roman" w:hAnsi="Times New Roman"/>
          <w:sz w:val="28"/>
        </w:rPr>
        <w:t>марте</w:t>
      </w:r>
      <w:r>
        <w:rPr>
          <w:rFonts w:ascii="Times New Roman" w:hAnsi="Times New Roman"/>
          <w:sz w:val="28"/>
        </w:rPr>
        <w:t xml:space="preserve"> 202</w:t>
      </w:r>
      <w:r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житель</w:t>
      </w:r>
      <w:r>
        <w:rPr>
          <w:rFonts w:ascii="Times New Roman" w:hAnsi="Times New Roman"/>
          <w:sz w:val="28"/>
        </w:rPr>
        <w:t>ница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поселка Сазоново Чагодощенского округа</w:t>
      </w:r>
      <w:r>
        <w:rPr>
          <w:rFonts w:ascii="Times New Roman" w:hAnsi="Times New Roman"/>
          <w:sz w:val="28"/>
        </w:rPr>
        <w:t xml:space="preserve">, находясь </w:t>
      </w:r>
      <w:r>
        <w:rPr>
          <w:rFonts w:ascii="Times New Roman" w:hAnsi="Times New Roman"/>
          <w:sz w:val="28"/>
        </w:rPr>
        <w:t>в у себя дома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 использованием социальной сети «ВК» со страницы своего сожителя </w:t>
      </w:r>
      <w:r>
        <w:rPr>
          <w:rFonts w:ascii="Times New Roman" w:hAnsi="Times New Roman"/>
          <w:sz w:val="28"/>
        </w:rPr>
        <w:t>отправила</w:t>
      </w:r>
      <w:r>
        <w:rPr>
          <w:rFonts w:ascii="Times New Roman" w:hAnsi="Times New Roman"/>
          <w:sz w:val="28"/>
        </w:rPr>
        <w:t xml:space="preserve"> на страницу </w:t>
      </w:r>
      <w:r>
        <w:rPr>
          <w:rFonts w:ascii="Times New Roman" w:hAnsi="Times New Roman"/>
          <w:sz w:val="28"/>
        </w:rPr>
        <w:t>соседки,</w:t>
      </w:r>
      <w:r>
        <w:rPr>
          <w:rFonts w:ascii="Times New Roman" w:hAnsi="Times New Roman"/>
          <w:sz w:val="28"/>
        </w:rPr>
        <w:t xml:space="preserve"> а так же</w:t>
      </w:r>
      <w:r>
        <w:rPr>
          <w:rFonts w:ascii="Times New Roman" w:hAnsi="Times New Roman"/>
          <w:sz w:val="28"/>
        </w:rPr>
        <w:t xml:space="preserve"> посредством СМС-сообщений на её номер телефона сообщения, содержащие </w:t>
      </w:r>
      <w:r>
        <w:rPr>
          <w:rFonts w:ascii="Times New Roman" w:hAnsi="Times New Roman"/>
          <w:sz w:val="28"/>
        </w:rPr>
        <w:t>грубые, нецензурные слова и выражения, противоречащие общепринятым нормам морали и нравственности.</w:t>
      </w:r>
    </w:p>
    <w:p w14:paraId="1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ё</w:t>
      </w:r>
      <w:r>
        <w:rPr>
          <w:rFonts w:ascii="Times New Roman" w:hAnsi="Times New Roman"/>
          <w:sz w:val="28"/>
        </w:rPr>
        <w:t xml:space="preserve"> высказывания потерпевшая восприняла как оскорбление, унижающее ее честь и достоинство. </w:t>
      </w:r>
    </w:p>
    <w:p w14:paraId="1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Кодексом об административных правонарушениях Российской Федерации возбуждение дел об оскорблениях отнесено к исключительной компетенции прокурора.</w:t>
      </w:r>
    </w:p>
    <w:p w14:paraId="1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изложенным, в отношении </w:t>
      </w:r>
      <w:r>
        <w:rPr>
          <w:rFonts w:ascii="Times New Roman" w:hAnsi="Times New Roman"/>
          <w:sz w:val="28"/>
        </w:rPr>
        <w:t>женщи</w:t>
      </w:r>
      <w:r>
        <w:rPr>
          <w:rFonts w:ascii="Times New Roman" w:hAnsi="Times New Roman"/>
          <w:sz w:val="28"/>
        </w:rPr>
        <w:t xml:space="preserve">ны прокуратурой района возбуждено дело об административном правонарушении, предусмотренном                          ч. 1 ст. 5.61 КоАП РФ (оскорбление). </w:t>
      </w:r>
    </w:p>
    <w:p w14:paraId="18000000">
      <w:pPr>
        <w:widowControl w:val="1"/>
        <w:ind w:firstLine="567"/>
        <w:jc w:val="both"/>
        <w:rPr>
          <w:sz w:val="28"/>
        </w:rPr>
      </w:pPr>
      <w:r>
        <w:rPr>
          <w:rFonts w:ascii="Times New Roman" w:hAnsi="Times New Roman"/>
          <w:sz w:val="28"/>
        </w:rPr>
        <w:t>Мировым судьей виновное лицо 2</w:t>
      </w:r>
      <w:r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>.0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.202</w:t>
      </w:r>
      <w:r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привлечено к административной ответственности в виде штрафа в размере 3 тыс. руб.</w:t>
      </w:r>
    </w:p>
    <w:p w14:paraId="19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1A000000">
      <w:pPr>
        <w:widowControl w:val="1"/>
        <w:ind w:firstLine="0" w:left="5386"/>
        <w:jc w:val="both"/>
        <w:rPr>
          <w:rFonts w:ascii="Times New Roman" w:hAnsi="Times New Roman"/>
          <w:sz w:val="28"/>
        </w:rPr>
      </w:pPr>
      <w:r>
        <w:rPr>
          <w:sz w:val="28"/>
        </w:rPr>
        <w:t xml:space="preserve">Прокуратура </w:t>
      </w:r>
      <w:r>
        <w:rPr>
          <w:sz w:val="28"/>
        </w:rPr>
        <w:t>Чагодощенского</w:t>
      </w:r>
      <w:r>
        <w:rPr>
          <w:sz w:val="28"/>
        </w:rPr>
        <w:t xml:space="preserve"> района</w:t>
      </w:r>
    </w:p>
    <w:p w14:paraId="1B000000">
      <w:pPr>
        <w:widowControl w:val="1"/>
        <w:ind w:firstLine="0" w:left="5386"/>
        <w:jc w:val="both"/>
        <w:rPr>
          <w:sz w:val="28"/>
        </w:rPr>
      </w:pPr>
    </w:p>
    <w:p w14:paraId="1C000000">
      <w:pPr>
        <w:widowControl w:val="1"/>
        <w:ind w:firstLine="0" w:left="5386"/>
        <w:jc w:val="both"/>
        <w:rPr>
          <w:sz w:val="28"/>
        </w:rPr>
      </w:pPr>
    </w:p>
    <w:p w14:paraId="1D000000">
      <w:pPr>
        <w:widowControl w:val="1"/>
        <w:ind w:firstLine="0" w:left="0"/>
        <w:jc w:val="both"/>
        <w:rPr>
          <w:sz w:val="28"/>
        </w:rPr>
      </w:pPr>
    </w:p>
    <w:p w14:paraId="1E000000">
      <w:pPr>
        <w:widowControl w:val="1"/>
        <w:ind w:firstLine="0" w:left="0"/>
        <w:jc w:val="both"/>
        <w:rPr>
          <w:sz w:val="28"/>
        </w:rPr>
      </w:pPr>
    </w:p>
    <w:p w14:paraId="1F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>«О результатах проверки исполнения законодательства при содержании муниципального имущества</w:t>
      </w:r>
      <w:r>
        <w:rPr>
          <w:sz w:val="28"/>
        </w:rPr>
        <w:t>»</w:t>
      </w:r>
    </w:p>
    <w:p w14:paraId="20000000">
      <w:pPr>
        <w:widowControl w:val="1"/>
        <w:ind w:firstLine="709"/>
        <w:jc w:val="both"/>
        <w:rPr>
          <w:sz w:val="28"/>
        </w:rPr>
      </w:pPr>
    </w:p>
    <w:p w14:paraId="21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 xml:space="preserve">Прокуратурой района проведена проверка </w:t>
      </w:r>
      <w:r>
        <w:rPr>
          <w:sz w:val="28"/>
        </w:rPr>
        <w:t>исполнения законодательства при содержании муниципального имущества.</w:t>
      </w:r>
    </w:p>
    <w:p w14:paraId="22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 xml:space="preserve">Установлено, что рядом с </w:t>
      </w:r>
      <w:r>
        <w:rPr>
          <w:sz w:val="28"/>
        </w:rPr>
        <w:t xml:space="preserve">хоккейным кортом в п. </w:t>
      </w:r>
      <w:r>
        <w:rPr>
          <w:sz w:val="28"/>
        </w:rPr>
        <w:t xml:space="preserve">Сазоново </w:t>
      </w:r>
      <w:r>
        <w:rPr>
          <w:rFonts w:ascii="Times New Roman" w:hAnsi="Times New Roman"/>
          <w:sz w:val="28"/>
        </w:rPr>
        <w:t xml:space="preserve">Чагодощенского </w:t>
      </w:r>
      <w:r>
        <w:rPr>
          <w:rFonts w:ascii="Times New Roman" w:hAnsi="Times New Roman"/>
          <w:sz w:val="28"/>
        </w:rPr>
        <w:t>муниципального округа</w:t>
      </w:r>
      <w:r>
        <w:rPr>
          <w:sz w:val="28"/>
        </w:rPr>
        <w:t xml:space="preserve"> </w:t>
      </w:r>
      <w:r>
        <w:rPr>
          <w:sz w:val="28"/>
        </w:rPr>
        <w:t xml:space="preserve"> имеется раздевалка, которая находилась в ненадлежащем состоянии – на стенах имелись надписи, под полом имелось скопление мусора, раздевалка требовала покраски.</w:t>
      </w:r>
    </w:p>
    <w:p w14:paraId="23000000">
      <w:pPr>
        <w:widowControl w:val="1"/>
        <w:ind/>
        <w:jc w:val="both"/>
        <w:rPr>
          <w:sz w:val="28"/>
        </w:rPr>
      </w:pPr>
      <w:r>
        <w:rPr>
          <w:sz w:val="28"/>
        </w:rPr>
        <w:tab/>
      </w:r>
      <w:r>
        <w:rPr>
          <w:rFonts w:ascii="Times New Roman" w:hAnsi="Times New Roman"/>
          <w:sz w:val="28"/>
        </w:rPr>
        <w:t>Выявленные нарушения нашли свое отражение в представлении, внесенном</w:t>
      </w:r>
      <w:r>
        <w:rPr>
          <w:rFonts w:ascii="Times New Roman" w:hAnsi="Times New Roman"/>
          <w:sz w:val="28"/>
        </w:rPr>
        <w:t xml:space="preserve"> прокурором района в адрес начальника </w:t>
      </w:r>
      <w:r>
        <w:rPr>
          <w:rFonts w:ascii="Times New Roman" w:hAnsi="Times New Roman"/>
          <w:sz w:val="28"/>
        </w:rPr>
        <w:t xml:space="preserve">Сазоновского </w:t>
      </w:r>
      <w:r>
        <w:rPr>
          <w:rFonts w:ascii="Times New Roman" w:hAnsi="Times New Roman"/>
          <w:sz w:val="28"/>
        </w:rPr>
        <w:t xml:space="preserve">территориального Управления </w:t>
      </w:r>
      <w:r>
        <w:rPr>
          <w:rFonts w:ascii="Times New Roman" w:hAnsi="Times New Roman"/>
          <w:sz w:val="28"/>
        </w:rPr>
        <w:t xml:space="preserve">администрации Чагодощенского </w:t>
      </w:r>
      <w:r>
        <w:rPr>
          <w:rFonts w:ascii="Times New Roman" w:hAnsi="Times New Roman"/>
          <w:sz w:val="28"/>
        </w:rPr>
        <w:t xml:space="preserve">муниципального округа, которое </w:t>
      </w:r>
      <w:r>
        <w:rPr>
          <w:rFonts w:ascii="Times New Roman" w:hAnsi="Times New Roman"/>
          <w:sz w:val="28"/>
        </w:rPr>
        <w:t>рассмотрено и удовлетворено, органом местного самоуправления организовано выполнение работ по покраске и ремонту раздевалки хоккейного корта.</w:t>
      </w:r>
    </w:p>
    <w:p w14:paraId="24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25000000">
      <w:pPr>
        <w:widowControl w:val="1"/>
        <w:ind/>
        <w:jc w:val="right"/>
        <w:rPr>
          <w:rFonts w:ascii="Times New Roman" w:hAnsi="Times New Roman"/>
          <w:sz w:val="28"/>
        </w:rPr>
      </w:pPr>
      <w:r>
        <w:rPr>
          <w:sz w:val="28"/>
        </w:rPr>
        <w:t xml:space="preserve">Прокуратура </w:t>
      </w:r>
      <w:r>
        <w:rPr>
          <w:sz w:val="28"/>
        </w:rPr>
        <w:t>Чагодощенского</w:t>
      </w:r>
      <w:r>
        <w:rPr>
          <w:sz w:val="28"/>
        </w:rPr>
        <w:t xml:space="preserve"> района</w:t>
      </w:r>
    </w:p>
    <w:p w14:paraId="26000000">
      <w:pPr>
        <w:widowControl w:val="1"/>
        <w:ind/>
        <w:jc w:val="right"/>
        <w:rPr>
          <w:sz w:val="28"/>
        </w:rPr>
      </w:pPr>
    </w:p>
    <w:p w14:paraId="27000000">
      <w:pPr>
        <w:widowControl w:val="1"/>
        <w:ind/>
        <w:jc w:val="right"/>
        <w:rPr>
          <w:sz w:val="28"/>
        </w:rPr>
      </w:pPr>
    </w:p>
    <w:p w14:paraId="28000000">
      <w:pPr>
        <w:widowControl w:val="1"/>
        <w:ind/>
        <w:jc w:val="center"/>
        <w:rPr>
          <w:sz w:val="28"/>
        </w:rPr>
      </w:pPr>
    </w:p>
    <w:p w14:paraId="29000000">
      <w:pPr>
        <w:widowControl w:val="1"/>
        <w:ind/>
        <w:jc w:val="center"/>
        <w:rPr>
          <w:sz w:val="28"/>
        </w:rPr>
      </w:pPr>
    </w:p>
    <w:p w14:paraId="2A000000">
      <w:pPr>
        <w:widowControl w:val="1"/>
        <w:ind/>
        <w:jc w:val="center"/>
        <w:rPr>
          <w:sz w:val="28"/>
        </w:rPr>
      </w:pPr>
    </w:p>
    <w:p w14:paraId="2B000000">
      <w:pPr>
        <w:widowControl w:val="1"/>
        <w:ind/>
        <w:jc w:val="center"/>
        <w:rPr>
          <w:sz w:val="28"/>
        </w:rPr>
      </w:pPr>
    </w:p>
    <w:p w14:paraId="2C000000">
      <w:pPr>
        <w:widowControl w:val="1"/>
        <w:ind/>
        <w:jc w:val="center"/>
        <w:rPr>
          <w:sz w:val="28"/>
        </w:rPr>
      </w:pPr>
    </w:p>
    <w:p w14:paraId="2D000000">
      <w:pPr>
        <w:widowControl w:val="1"/>
        <w:ind/>
        <w:jc w:val="center"/>
        <w:rPr>
          <w:sz w:val="28"/>
        </w:rPr>
      </w:pPr>
    </w:p>
    <w:p w14:paraId="2E000000">
      <w:pPr>
        <w:widowControl w:val="1"/>
        <w:ind/>
        <w:jc w:val="center"/>
        <w:rPr>
          <w:sz w:val="28"/>
        </w:rPr>
      </w:pPr>
    </w:p>
    <w:p w14:paraId="2F000000">
      <w:pPr>
        <w:widowControl w:val="1"/>
        <w:ind/>
        <w:jc w:val="center"/>
        <w:rPr>
          <w:sz w:val="28"/>
        </w:rPr>
      </w:pPr>
    </w:p>
    <w:p w14:paraId="30000000">
      <w:pPr>
        <w:widowControl w:val="1"/>
        <w:ind/>
        <w:jc w:val="center"/>
        <w:rPr>
          <w:sz w:val="28"/>
        </w:rPr>
      </w:pPr>
    </w:p>
    <w:p w14:paraId="31000000">
      <w:pPr>
        <w:widowControl w:val="1"/>
        <w:ind/>
        <w:jc w:val="center"/>
        <w:rPr>
          <w:sz w:val="28"/>
        </w:rPr>
      </w:pPr>
    </w:p>
    <w:p w14:paraId="32000000">
      <w:pPr>
        <w:widowControl w:val="1"/>
        <w:ind/>
        <w:jc w:val="center"/>
        <w:rPr>
          <w:sz w:val="28"/>
        </w:rPr>
      </w:pPr>
    </w:p>
    <w:p w14:paraId="33000000">
      <w:pPr>
        <w:widowControl w:val="1"/>
        <w:ind/>
        <w:jc w:val="center"/>
        <w:rPr>
          <w:sz w:val="28"/>
        </w:rPr>
      </w:pPr>
    </w:p>
    <w:p w14:paraId="34000000">
      <w:pPr>
        <w:widowControl w:val="1"/>
        <w:ind/>
        <w:jc w:val="center"/>
        <w:rPr>
          <w:sz w:val="28"/>
        </w:rPr>
      </w:pPr>
    </w:p>
    <w:p w14:paraId="35000000">
      <w:pPr>
        <w:widowControl w:val="1"/>
        <w:ind/>
        <w:jc w:val="center"/>
        <w:rPr>
          <w:sz w:val="28"/>
        </w:rPr>
      </w:pPr>
    </w:p>
    <w:p w14:paraId="36000000">
      <w:pPr>
        <w:widowControl w:val="1"/>
        <w:ind/>
        <w:jc w:val="center"/>
        <w:rPr>
          <w:sz w:val="28"/>
        </w:rPr>
      </w:pPr>
    </w:p>
    <w:p w14:paraId="37000000">
      <w:pPr>
        <w:widowControl w:val="1"/>
        <w:ind/>
        <w:jc w:val="center"/>
        <w:rPr>
          <w:sz w:val="28"/>
        </w:rPr>
      </w:pPr>
    </w:p>
    <w:p w14:paraId="38000000">
      <w:pPr>
        <w:widowControl w:val="1"/>
        <w:ind/>
        <w:jc w:val="center"/>
        <w:rPr>
          <w:sz w:val="28"/>
        </w:rPr>
      </w:pPr>
    </w:p>
    <w:p w14:paraId="39000000">
      <w:pPr>
        <w:widowControl w:val="1"/>
        <w:ind/>
        <w:jc w:val="center"/>
        <w:rPr>
          <w:sz w:val="28"/>
        </w:rPr>
      </w:pPr>
    </w:p>
    <w:p w14:paraId="3A000000">
      <w:pPr>
        <w:widowControl w:val="1"/>
        <w:ind/>
        <w:jc w:val="center"/>
        <w:rPr>
          <w:sz w:val="28"/>
        </w:rPr>
      </w:pPr>
    </w:p>
    <w:p w14:paraId="3B000000">
      <w:pPr>
        <w:widowControl w:val="1"/>
        <w:ind/>
        <w:jc w:val="center"/>
        <w:rPr>
          <w:sz w:val="28"/>
        </w:rPr>
      </w:pPr>
    </w:p>
    <w:p w14:paraId="3C000000">
      <w:pPr>
        <w:widowControl w:val="1"/>
        <w:ind/>
        <w:jc w:val="center"/>
        <w:rPr>
          <w:sz w:val="28"/>
        </w:rPr>
      </w:pPr>
    </w:p>
    <w:p w14:paraId="3D000000">
      <w:pPr>
        <w:widowControl w:val="1"/>
        <w:ind/>
        <w:jc w:val="center"/>
        <w:rPr>
          <w:sz w:val="28"/>
        </w:rPr>
      </w:pPr>
    </w:p>
    <w:p w14:paraId="3E000000">
      <w:pPr>
        <w:widowControl w:val="1"/>
        <w:ind/>
        <w:jc w:val="center"/>
        <w:rPr>
          <w:sz w:val="28"/>
        </w:rPr>
      </w:pPr>
    </w:p>
    <w:p w14:paraId="3F000000">
      <w:pPr>
        <w:widowControl w:val="1"/>
        <w:ind/>
        <w:jc w:val="center"/>
        <w:rPr>
          <w:sz w:val="28"/>
        </w:rPr>
      </w:pPr>
    </w:p>
    <w:p w14:paraId="40000000">
      <w:pPr>
        <w:widowControl w:val="1"/>
        <w:ind/>
        <w:jc w:val="center"/>
        <w:rPr>
          <w:sz w:val="28"/>
        </w:rPr>
      </w:pPr>
    </w:p>
    <w:p w14:paraId="41000000">
      <w:pPr>
        <w:widowControl w:val="1"/>
        <w:ind/>
        <w:jc w:val="center"/>
        <w:rPr>
          <w:sz w:val="28"/>
        </w:rPr>
      </w:pPr>
      <w:r>
        <w:rPr>
          <w:sz w:val="28"/>
        </w:rPr>
        <w:t>«Прокурором Чагодощенского района утвержден обвинительный акт по уголовному делу об уклонении от административного надзора</w:t>
      </w:r>
      <w:r>
        <w:rPr>
          <w:sz w:val="28"/>
        </w:rPr>
        <w:t>»</w:t>
      </w:r>
    </w:p>
    <w:p w14:paraId="42000000">
      <w:pPr>
        <w:widowControl w:val="1"/>
        <w:ind/>
        <w:jc w:val="left"/>
        <w:rPr>
          <w:sz w:val="28"/>
        </w:rPr>
      </w:pPr>
    </w:p>
    <w:p w14:paraId="43000000">
      <w:pPr>
        <w:widowControl w:val="1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Прокурором Чагодощенского района утвержден обвинительный акт по уголовному делу в отношении 30-летнего местного жителя.</w:t>
      </w:r>
    </w:p>
    <w:p w14:paraId="44000000">
      <w:pPr>
        <w:widowControl w:val="1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Он обвиняется в совершении преступления, предусмотренного </w:t>
      </w:r>
      <w:r>
        <w:rPr>
          <w:rFonts w:ascii="Times New Roman" w:hAnsi="Times New Roman"/>
          <w:b w:val="0"/>
          <w:i w:val="0"/>
          <w:caps w:val="0"/>
          <w:smallCaps w:val="0"/>
          <w:color w:val="000000"/>
          <w:sz w:val="28"/>
        </w:rPr>
        <w:t>ч. 2 ст. 314.1 УК РФ (неоднократное несоблюдение лицом, в отношении которого установлен административный надзор, административных ограничений, установленных судом в соответствии с федеральным законом, сопряженное с совершением данным лицом административного правонарушения, посягающего на общественный порядок и общественную безопасность).</w:t>
      </w:r>
    </w:p>
    <w:p w14:paraId="45000000">
      <w:pPr>
        <w:widowControl w:val="1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0"/>
          <w:i w:val="0"/>
          <w:caps w:val="0"/>
          <w:smallCaps w:val="0"/>
          <w:color w:val="000000"/>
          <w:sz w:val="28"/>
        </w:rPr>
        <w:t xml:space="preserve">По версии дознания, в мае 2018 г. в отношении осужденного на 10 лет установлен административный надзор. </w:t>
      </w:r>
    </w:p>
    <w:p w14:paraId="46000000">
      <w:pPr>
        <w:widowControl w:val="1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0"/>
          <w:i w:val="0"/>
          <w:caps w:val="0"/>
          <w:smallCaps w:val="0"/>
          <w:color w:val="000000"/>
          <w:sz w:val="28"/>
        </w:rPr>
        <w:t>Мужчина систематически нарушал установленные судом запреты, в положенное время отсутствовал по месту жительства, а так же допускал неявки на регистрацию в орган внутренних дел по месту жительства, в связи с этим неоднократно привлекался к административной ответственности по ч. 3 ст. 19.24 КоАП РФ.</w:t>
      </w:r>
    </w:p>
    <w:p w14:paraId="47000000">
      <w:pPr>
        <w:widowControl w:val="1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0"/>
          <w:i w:val="0"/>
          <w:caps w:val="0"/>
          <w:smallCaps w:val="0"/>
          <w:color w:val="000000"/>
          <w:sz w:val="28"/>
        </w:rPr>
        <w:t xml:space="preserve">В апреле 2026 г. в ночное время в нарушение ограничения, установленного судом, </w:t>
      </w:r>
      <w:r>
        <w:rPr>
          <w:rFonts w:ascii="Times New Roman" w:hAnsi="Times New Roman"/>
          <w:color w:val="000000"/>
          <w:sz w:val="28"/>
        </w:rPr>
        <w:t xml:space="preserve">отсутствовал по месту </w:t>
      </w:r>
      <w:r>
        <w:rPr>
          <w:rFonts w:ascii="Times New Roman" w:hAnsi="Times New Roman"/>
          <w:color w:val="000000"/>
          <w:sz w:val="28"/>
        </w:rPr>
        <w:t>жительства</w:t>
      </w:r>
      <w:r>
        <w:rPr>
          <w:rFonts w:ascii="Times New Roman" w:hAnsi="Times New Roman"/>
          <w:color w:val="000000"/>
          <w:sz w:val="28"/>
        </w:rPr>
        <w:t xml:space="preserve">, при этом совершил административное правонарушение, посягающее на общественный порядок и общественную безопасность, а именно </w:t>
      </w:r>
      <w:r>
        <w:rPr>
          <w:rFonts w:ascii="Times New Roman" w:hAnsi="Times New Roman"/>
          <w:color w:val="000000"/>
          <w:sz w:val="28"/>
        </w:rPr>
        <w:t xml:space="preserve">находился в общественном месте </w:t>
      </w:r>
      <w:r>
        <w:rPr>
          <w:rFonts w:ascii="Times New Roman" w:hAnsi="Times New Roman"/>
          <w:color w:val="000000"/>
          <w:sz w:val="28"/>
        </w:rPr>
        <w:t xml:space="preserve">в п. </w:t>
      </w:r>
      <w:r>
        <w:rPr>
          <w:rFonts w:ascii="Times New Roman" w:hAnsi="Times New Roman"/>
          <w:color w:val="000000"/>
          <w:sz w:val="28"/>
        </w:rPr>
        <w:t>Чагода</w:t>
      </w:r>
      <w:r>
        <w:rPr>
          <w:rFonts w:ascii="Times New Roman" w:hAnsi="Times New Roman"/>
          <w:color w:val="000000"/>
          <w:sz w:val="28"/>
        </w:rPr>
        <w:t xml:space="preserve"> в состоянии алкогольного опьянения, оскорбляющем человеческое достоинство и общественную нравственность, в связи с чем </w:t>
      </w:r>
      <w:r>
        <w:rPr>
          <w:rFonts w:ascii="Times New Roman" w:hAnsi="Times New Roman"/>
          <w:color w:val="000000"/>
          <w:sz w:val="28"/>
        </w:rPr>
        <w:t>привлечен к административной ответственности по ст. 20.21 КоАП РФ.</w:t>
      </w:r>
    </w:p>
    <w:p w14:paraId="48000000">
      <w:pPr>
        <w:widowControl w:val="1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0"/>
          <w:i w:val="0"/>
          <w:caps w:val="0"/>
          <w:smallCaps w:val="0"/>
          <w:color w:val="000000"/>
          <w:sz w:val="28"/>
        </w:rPr>
        <w:t>Уголовное дело направлено для рассмотрения по существу в Бабаевский районный суд Вологодской области.</w:t>
      </w:r>
    </w:p>
    <w:p w14:paraId="49000000">
      <w:pPr>
        <w:widowControl w:val="1"/>
        <w:ind w:firstLine="709"/>
        <w:jc w:val="both"/>
        <w:rPr>
          <w:rFonts w:ascii="Times New Roman" w:hAnsi="Times New Roman"/>
          <w:b w:val="0"/>
          <w:i w:val="0"/>
          <w:caps w:val="0"/>
          <w:smallCaps w:val="0"/>
          <w:color w:val="000000"/>
          <w:sz w:val="28"/>
        </w:rPr>
      </w:pPr>
    </w:p>
    <w:p w14:paraId="4A000000">
      <w:pPr>
        <w:widowControl w:val="1"/>
        <w:ind w:firstLine="709"/>
        <w:jc w:val="right"/>
        <w:rPr>
          <w:rFonts w:ascii="Times New Roman" w:hAnsi="Times New Roman"/>
          <w:b w:val="0"/>
          <w:i w:val="0"/>
          <w:caps w:val="0"/>
          <w:smallCaps w:val="0"/>
          <w:color w:val="000000"/>
          <w:sz w:val="28"/>
        </w:rPr>
      </w:pPr>
      <w:r>
        <w:rPr>
          <w:sz w:val="28"/>
        </w:rPr>
        <w:t xml:space="preserve">Прокуратура </w:t>
      </w:r>
      <w:r>
        <w:rPr>
          <w:sz w:val="28"/>
        </w:rPr>
        <w:t>Чагодощенского</w:t>
      </w:r>
      <w:r>
        <w:rPr>
          <w:sz w:val="28"/>
        </w:rPr>
        <w:t xml:space="preserve"> района</w:t>
      </w:r>
    </w:p>
    <w:p w14:paraId="4B000000">
      <w:pPr>
        <w:widowControl w:val="1"/>
        <w:ind w:firstLine="709"/>
        <w:jc w:val="both"/>
        <w:rPr>
          <w:sz w:val="28"/>
        </w:rPr>
      </w:pPr>
    </w:p>
    <w:p w14:paraId="4C000000">
      <w:pPr>
        <w:widowControl w:val="1"/>
        <w:ind w:firstLine="709"/>
        <w:jc w:val="both"/>
        <w:rPr>
          <w:sz w:val="28"/>
        </w:rPr>
      </w:pPr>
    </w:p>
    <w:p w14:paraId="4D000000">
      <w:pPr>
        <w:widowControl w:val="1"/>
        <w:ind w:firstLine="709"/>
        <w:jc w:val="both"/>
        <w:rPr>
          <w:sz w:val="28"/>
        </w:rPr>
      </w:pPr>
    </w:p>
    <w:p w14:paraId="4E000000">
      <w:pPr>
        <w:widowControl w:val="1"/>
        <w:ind w:firstLine="709"/>
        <w:jc w:val="both"/>
        <w:rPr>
          <w:sz w:val="28"/>
        </w:rPr>
      </w:pPr>
    </w:p>
    <w:p w14:paraId="4F000000">
      <w:pPr>
        <w:widowControl w:val="1"/>
        <w:ind w:firstLine="709"/>
        <w:jc w:val="both"/>
        <w:rPr>
          <w:sz w:val="28"/>
        </w:rPr>
      </w:pPr>
    </w:p>
    <w:p w14:paraId="50000000">
      <w:pPr>
        <w:widowControl w:val="1"/>
        <w:ind w:firstLine="709"/>
        <w:jc w:val="both"/>
        <w:rPr>
          <w:sz w:val="28"/>
        </w:rPr>
      </w:pPr>
    </w:p>
    <w:p w14:paraId="51000000">
      <w:pPr>
        <w:widowControl w:val="1"/>
        <w:ind/>
        <w:jc w:val="center"/>
        <w:rPr>
          <w:sz w:val="28"/>
        </w:rPr>
      </w:pPr>
    </w:p>
    <w:p w14:paraId="52000000">
      <w:pPr>
        <w:widowControl w:val="1"/>
        <w:ind/>
        <w:jc w:val="center"/>
        <w:rPr>
          <w:sz w:val="28"/>
        </w:rPr>
      </w:pPr>
    </w:p>
    <w:p w14:paraId="53000000">
      <w:pPr>
        <w:widowControl w:val="1"/>
        <w:ind/>
        <w:jc w:val="center"/>
        <w:rPr>
          <w:sz w:val="28"/>
        </w:rPr>
      </w:pPr>
    </w:p>
    <w:p w14:paraId="54000000">
      <w:pPr>
        <w:widowControl w:val="1"/>
        <w:ind/>
        <w:jc w:val="center"/>
        <w:rPr>
          <w:sz w:val="28"/>
        </w:rPr>
      </w:pPr>
    </w:p>
    <w:p w14:paraId="55000000">
      <w:pPr>
        <w:widowControl w:val="1"/>
        <w:ind/>
        <w:jc w:val="center"/>
        <w:rPr>
          <w:sz w:val="28"/>
        </w:rPr>
      </w:pPr>
    </w:p>
    <w:p w14:paraId="56000000">
      <w:pPr>
        <w:widowControl w:val="1"/>
        <w:ind/>
        <w:jc w:val="center"/>
        <w:rPr>
          <w:sz w:val="28"/>
        </w:rPr>
      </w:pPr>
    </w:p>
    <w:p w14:paraId="57000000">
      <w:pPr>
        <w:widowControl w:val="1"/>
        <w:ind/>
        <w:jc w:val="center"/>
        <w:rPr>
          <w:sz w:val="28"/>
        </w:rPr>
      </w:pPr>
    </w:p>
    <w:p w14:paraId="58000000">
      <w:pPr>
        <w:widowControl w:val="1"/>
        <w:ind/>
        <w:jc w:val="center"/>
        <w:rPr>
          <w:sz w:val="28"/>
        </w:rPr>
      </w:pPr>
    </w:p>
    <w:p w14:paraId="59000000">
      <w:pPr>
        <w:widowControl w:val="1"/>
        <w:ind/>
        <w:jc w:val="center"/>
        <w:rPr>
          <w:sz w:val="28"/>
        </w:rPr>
      </w:pPr>
    </w:p>
    <w:p w14:paraId="5A000000">
      <w:pPr>
        <w:widowControl w:val="1"/>
        <w:ind/>
        <w:jc w:val="center"/>
        <w:rPr>
          <w:sz w:val="28"/>
        </w:rPr>
      </w:pPr>
    </w:p>
    <w:p w14:paraId="5B000000">
      <w:pPr>
        <w:widowControl w:val="1"/>
        <w:ind/>
        <w:jc w:val="center"/>
        <w:rPr>
          <w:sz w:val="28"/>
        </w:rPr>
      </w:pPr>
    </w:p>
    <w:p w14:paraId="5C000000">
      <w:pPr>
        <w:widowControl w:val="1"/>
        <w:ind/>
        <w:jc w:val="center"/>
        <w:rPr>
          <w:sz w:val="28"/>
        </w:rPr>
      </w:pPr>
    </w:p>
    <w:p w14:paraId="5D000000">
      <w:pPr>
        <w:widowControl w:val="1"/>
        <w:ind/>
        <w:jc w:val="center"/>
        <w:rPr>
          <w:sz w:val="28"/>
        </w:rPr>
      </w:pPr>
    </w:p>
    <w:p w14:paraId="5E000000">
      <w:pPr>
        <w:widowControl w:val="1"/>
        <w:ind/>
        <w:jc w:val="center"/>
        <w:rPr>
          <w:sz w:val="28"/>
        </w:rPr>
      </w:pPr>
      <w:r>
        <w:rPr>
          <w:sz w:val="28"/>
        </w:rPr>
        <w:t>«Прокурором Чагодощенского района</w:t>
      </w:r>
      <w:r>
        <w:rPr>
          <w:sz w:val="28"/>
        </w:rPr>
        <w:t xml:space="preserve"> утверждено обвинительное заключение в отношении местного жителя, обвиняемого в совершении преступления, предусмотренного п.п. «в», «г» ч. 3 ст. 158 УК РФ (кража, совершенная с банковского счета в крупном размере)»</w:t>
      </w:r>
    </w:p>
    <w:p w14:paraId="5F000000">
      <w:pPr>
        <w:widowControl w:val="1"/>
        <w:ind/>
        <w:jc w:val="both"/>
        <w:rPr>
          <w:sz w:val="28"/>
        </w:rPr>
      </w:pPr>
    </w:p>
    <w:p w14:paraId="60000000">
      <w:pPr>
        <w:widowControl w:val="1"/>
        <w:ind w:firstLine="709"/>
        <w:jc w:val="both"/>
        <w:rPr>
          <w:color w:val="000000"/>
          <w:sz w:val="28"/>
        </w:rPr>
      </w:pPr>
      <w:r>
        <w:rPr>
          <w:sz w:val="28"/>
        </w:rPr>
        <w:t>Из материалов уголовного дела следует, что в</w:t>
      </w:r>
      <w:r>
        <w:rPr>
          <w:sz w:val="28"/>
        </w:rPr>
        <w:t xml:space="preserve"> июне</w:t>
      </w:r>
      <w:r>
        <w:rPr>
          <w:sz w:val="28"/>
        </w:rPr>
        <w:t xml:space="preserve"> </w:t>
      </w:r>
      <w:r>
        <w:rPr>
          <w:sz w:val="28"/>
        </w:rPr>
        <w:t xml:space="preserve">2023 </w:t>
      </w:r>
      <w:r>
        <w:rPr>
          <w:sz w:val="28"/>
        </w:rPr>
        <w:t>года</w:t>
      </w:r>
      <w:r>
        <w:rPr>
          <w:sz w:val="28"/>
        </w:rPr>
        <w:t xml:space="preserve"> </w:t>
      </w:r>
      <w:r>
        <w:rPr>
          <w:sz w:val="28"/>
        </w:rPr>
        <w:t>мужчина</w:t>
      </w:r>
      <w:r>
        <w:rPr>
          <w:sz w:val="28"/>
        </w:rPr>
        <w:t xml:space="preserve">, </w:t>
      </w:r>
      <w:r>
        <w:rPr>
          <w:sz w:val="28"/>
        </w:rPr>
        <w:t>воспользова</w:t>
      </w:r>
      <w:r>
        <w:rPr>
          <w:color w:val="000000"/>
          <w:sz w:val="28"/>
        </w:rPr>
        <w:t>вшись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мобильным </w:t>
      </w:r>
      <w:r>
        <w:rPr>
          <w:color w:val="000000"/>
          <w:sz w:val="28"/>
        </w:rPr>
        <w:t>телефоном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принадлежащим </w:t>
      </w:r>
      <w:r>
        <w:rPr>
          <w:color w:val="000000"/>
          <w:sz w:val="28"/>
        </w:rPr>
        <w:t>потерпевшему</w:t>
      </w:r>
      <w:r>
        <w:rPr>
          <w:color w:val="000000"/>
          <w:sz w:val="28"/>
        </w:rPr>
        <w:t>,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осуществил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путем онлайн-</w:t>
      </w:r>
      <w:r>
        <w:rPr>
          <w:color w:val="000000"/>
          <w:sz w:val="28"/>
        </w:rPr>
        <w:t>перевода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через </w:t>
      </w:r>
      <w:r>
        <w:rPr>
          <w:color w:val="000000"/>
          <w:sz w:val="28"/>
        </w:rPr>
        <w:t xml:space="preserve">мобильное приложение </w:t>
      </w:r>
      <w:r>
        <w:rPr>
          <w:color w:val="000000"/>
          <w:sz w:val="28"/>
        </w:rPr>
        <w:t xml:space="preserve">«Сбербанк-онлайн» </w:t>
      </w:r>
      <w:r>
        <w:rPr>
          <w:color w:val="000000"/>
          <w:sz w:val="28"/>
        </w:rPr>
        <w:t>с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банковского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счета</w:t>
      </w:r>
      <w:r>
        <w:rPr>
          <w:color w:val="000000"/>
          <w:sz w:val="28"/>
        </w:rPr>
        <w:t xml:space="preserve"> хищение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денежных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средств</w:t>
      </w:r>
      <w:r>
        <w:rPr>
          <w:color w:val="000000"/>
          <w:sz w:val="28"/>
        </w:rPr>
        <w:t xml:space="preserve"> на сумму </w:t>
      </w:r>
      <w:r>
        <w:rPr>
          <w:color w:val="000000"/>
          <w:sz w:val="28"/>
        </w:rPr>
        <w:t>372 тыс.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руб.</w:t>
      </w:r>
      <w:r>
        <w:rPr>
          <w:rFonts w:ascii="Times New Roman" w:hAnsi="Times New Roman"/>
          <w:b w:val="0"/>
          <w:i w:val="0"/>
          <w:caps w:val="0"/>
          <w:smallCaps w:val="0"/>
          <w:color w:val="000000"/>
          <w:sz w:val="28"/>
        </w:rPr>
        <w:t>, которыми распорядился по своему усмотрению, причинив потерпевшему значительный материальный ущерб.</w:t>
      </w:r>
    </w:p>
    <w:p w14:paraId="61000000">
      <w:pPr>
        <w:widowControl w:val="1"/>
        <w:ind w:firstLine="709"/>
        <w:jc w:val="both"/>
        <w:rPr>
          <w:color w:val="000000"/>
          <w:sz w:val="28"/>
        </w:rPr>
      </w:pPr>
      <w:r>
        <w:rPr>
          <w:rFonts w:ascii="Times New Roman" w:hAnsi="Times New Roman"/>
          <w:b w:val="0"/>
          <w:i w:val="0"/>
          <w:caps w:val="0"/>
          <w:smallCaps w:val="0"/>
          <w:color w:val="000000"/>
          <w:sz w:val="28"/>
        </w:rPr>
        <w:t>Рассмотрение дела состоится в Бабаевском районном суде Вологодской области.</w:t>
      </w:r>
    </w:p>
    <w:p w14:paraId="62000000">
      <w:pPr>
        <w:widowControl w:val="1"/>
        <w:ind w:firstLine="709"/>
        <w:jc w:val="both"/>
        <w:rPr>
          <w:rFonts w:ascii="Times New Roman" w:hAnsi="Times New Roman"/>
          <w:b w:val="0"/>
          <w:i w:val="0"/>
          <w:caps w:val="0"/>
          <w:smallCaps w:val="0"/>
          <w:color w:val="000000"/>
          <w:sz w:val="28"/>
        </w:rPr>
      </w:pPr>
    </w:p>
    <w:p w14:paraId="63000000">
      <w:pPr>
        <w:widowControl w:val="1"/>
        <w:spacing w:after="283" w:before="0" w:line="276" w:lineRule="auto"/>
        <w:ind w:firstLine="0" w:left="0" w:right="0"/>
        <w:contextualSpacing w:val="0"/>
        <w:jc w:val="right"/>
        <w:rPr>
          <w:rFonts w:ascii="Times New Roman" w:hAnsi="Times New Roman"/>
          <w:b w:val="0"/>
          <w:i w:val="0"/>
          <w:caps w:val="0"/>
          <w:smallCaps w:val="0"/>
          <w:color w:val="333333"/>
          <w:sz w:val="24"/>
        </w:rPr>
      </w:pPr>
      <w:r>
        <w:rPr>
          <w:sz w:val="28"/>
        </w:rPr>
        <w:t xml:space="preserve">Прокуратура </w:t>
      </w:r>
      <w:r>
        <w:rPr>
          <w:sz w:val="28"/>
        </w:rPr>
        <w:t>Чагодощенского</w:t>
      </w:r>
      <w:r>
        <w:rPr>
          <w:sz w:val="28"/>
        </w:rPr>
        <w:t xml:space="preserve"> района</w:t>
      </w:r>
    </w:p>
    <w:p w14:paraId="64000000">
      <w:pPr>
        <w:widowControl w:val="1"/>
        <w:spacing w:after="283" w:before="0" w:line="276" w:lineRule="auto"/>
        <w:ind w:firstLine="0" w:left="0" w:right="0"/>
        <w:contextualSpacing w:val="0"/>
        <w:rPr>
          <w:rFonts w:ascii="Times New Roman" w:hAnsi="Times New Roman"/>
          <w:b w:val="0"/>
          <w:i w:val="0"/>
          <w:caps w:val="0"/>
          <w:smallCaps w:val="0"/>
          <w:color w:val="333333"/>
          <w:sz w:val="24"/>
        </w:rPr>
      </w:pPr>
    </w:p>
    <w:p w14:paraId="65000000">
      <w:pPr>
        <w:widowControl w:val="1"/>
        <w:ind w:firstLine="709"/>
        <w:jc w:val="both"/>
        <w:rPr>
          <w:sz w:val="28"/>
        </w:rPr>
      </w:pPr>
    </w:p>
    <w:p w14:paraId="66000000">
      <w:pPr>
        <w:widowControl w:val="1"/>
        <w:ind/>
        <w:jc w:val="center"/>
        <w:rPr>
          <w:sz w:val="28"/>
        </w:rPr>
      </w:pPr>
      <w:r>
        <w:rPr>
          <w:rFonts w:ascii="Roboto" w:hAnsi="Roboto"/>
          <w:b w:val="0"/>
          <w:i w:val="0"/>
          <w:caps w:val="0"/>
          <w:smallCaps w:val="0"/>
          <w:color w:val="333333"/>
          <w:sz w:val="24"/>
        </w:rPr>
        <w:br/>
      </w:r>
      <w:r>
        <w:rPr>
          <w:rFonts w:ascii="Roboto" w:hAnsi="Roboto"/>
          <w:b w:val="0"/>
          <w:i w:val="0"/>
          <w:caps w:val="0"/>
          <w:smallCaps w:val="0"/>
          <w:color w:val="333333"/>
          <w:sz w:val="24"/>
        </w:rPr>
        <w:br/>
      </w:r>
      <w:r>
        <w:rPr>
          <w:sz w:val="28"/>
        </w:rPr>
        <w:t>«Жительница Чагодощенского округа осуждена за кражу денежных средств с банковского счета»</w:t>
      </w:r>
    </w:p>
    <w:p w14:paraId="67000000">
      <w:pPr>
        <w:rPr>
          <w:sz w:val="28"/>
        </w:rPr>
      </w:pPr>
    </w:p>
    <w:p w14:paraId="68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>Прокуратурой Чагодощенского района поддержано государственное обвинение по уголовному делу о совершении 2-х преступлений, предусмотренных п. «г» ч. 3 ст. 158 УК РФ (кража, то есть тайное хищение чужого имущества, с банковского счета).</w:t>
      </w:r>
    </w:p>
    <w:p w14:paraId="69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 xml:space="preserve">Установлено, что  07 и 10 декабря 2025 г. местная жительница, находясь в гостях у </w:t>
      </w:r>
      <w:r>
        <w:rPr>
          <w:sz w:val="28"/>
        </w:rPr>
        <w:t>знакомой</w:t>
      </w:r>
      <w:r>
        <w:rPr>
          <w:sz w:val="28"/>
        </w:rPr>
        <w:t xml:space="preserve">, </w:t>
      </w:r>
      <w:r>
        <w:rPr>
          <w:sz w:val="28"/>
        </w:rPr>
        <w:t>воспользова</w:t>
      </w:r>
      <w:r>
        <w:rPr>
          <w:sz w:val="28"/>
        </w:rPr>
        <w:t>вшись её</w:t>
      </w:r>
      <w:r>
        <w:rPr>
          <w:sz w:val="28"/>
        </w:rPr>
        <w:t xml:space="preserve"> </w:t>
      </w:r>
      <w:r>
        <w:rPr>
          <w:sz w:val="28"/>
        </w:rPr>
        <w:t xml:space="preserve">мобильным </w:t>
      </w:r>
      <w:r>
        <w:rPr>
          <w:sz w:val="28"/>
        </w:rPr>
        <w:t>телефоном</w:t>
      </w:r>
      <w:r>
        <w:rPr>
          <w:sz w:val="28"/>
        </w:rPr>
        <w:t>,</w:t>
      </w:r>
      <w:r>
        <w:rPr>
          <w:sz w:val="28"/>
        </w:rPr>
        <w:t xml:space="preserve"> </w:t>
      </w:r>
      <w:r>
        <w:rPr>
          <w:sz w:val="28"/>
        </w:rPr>
        <w:t xml:space="preserve">принадлежащим </w:t>
      </w:r>
      <w:r>
        <w:rPr>
          <w:sz w:val="28"/>
        </w:rPr>
        <w:t>своей знакомой</w:t>
      </w:r>
      <w:r>
        <w:rPr>
          <w:sz w:val="28"/>
        </w:rPr>
        <w:t>,</w:t>
      </w:r>
      <w:r>
        <w:rPr>
          <w:sz w:val="28"/>
        </w:rPr>
        <w:t xml:space="preserve"> </w:t>
      </w:r>
      <w:r>
        <w:rPr>
          <w:sz w:val="28"/>
        </w:rPr>
        <w:t xml:space="preserve">осуществила </w:t>
      </w:r>
      <w:r>
        <w:rPr>
          <w:sz w:val="28"/>
        </w:rPr>
        <w:t xml:space="preserve">переводы </w:t>
      </w:r>
      <w:r>
        <w:rPr>
          <w:sz w:val="28"/>
        </w:rPr>
        <w:t>денежных</w:t>
      </w:r>
      <w:r>
        <w:rPr>
          <w:sz w:val="28"/>
        </w:rPr>
        <w:t xml:space="preserve"> </w:t>
      </w:r>
      <w:r>
        <w:rPr>
          <w:sz w:val="28"/>
        </w:rPr>
        <w:t>средств</w:t>
      </w:r>
      <w:r>
        <w:rPr>
          <w:sz w:val="28"/>
        </w:rPr>
        <w:t xml:space="preserve"> на общую сумму 24</w:t>
      </w:r>
      <w:r>
        <w:rPr>
          <w:sz w:val="28"/>
        </w:rPr>
        <w:t xml:space="preserve"> тыс.</w:t>
      </w:r>
      <w:r>
        <w:rPr>
          <w:sz w:val="28"/>
        </w:rPr>
        <w:t xml:space="preserve"> </w:t>
      </w:r>
      <w:r>
        <w:rPr>
          <w:sz w:val="28"/>
        </w:rPr>
        <w:t>руб.</w:t>
      </w:r>
    </w:p>
    <w:p w14:paraId="6A000000">
      <w:pPr>
        <w:widowControl w:val="1"/>
        <w:spacing w:after="210" w:before="0" w:line="276" w:lineRule="auto"/>
        <w:ind w:firstLine="709"/>
        <w:contextualSpacing w:val="0"/>
        <w:jc w:val="both"/>
        <w:rPr>
          <w:sz w:val="28"/>
        </w:rPr>
      </w:pPr>
      <w:r>
        <w:rPr>
          <w:sz w:val="28"/>
        </w:rPr>
        <w:t>С учетом позиции государственного обвинителя, п</w:t>
      </w:r>
      <w:r>
        <w:rPr>
          <w:sz w:val="28"/>
        </w:rPr>
        <w:t>риговором Бабаевского районного суда гражданка признана виновной в совершении преступления, предусмотренного п. «г» ч. 3 ст. 158 УК РФ, ей</w:t>
      </w:r>
      <w:r>
        <w:rPr>
          <w:sz w:val="28"/>
        </w:rPr>
        <w:t xml:space="preserve"> назначено наказание в виде лишения свободы сроком на 6 месяцев. В соответствии со ст. 73 УК РФ наказание постановлен считать условным с испытательным сроком на 6 месяцев.</w:t>
      </w:r>
    </w:p>
    <w:p w14:paraId="6B000000">
      <w:pPr>
        <w:widowControl w:val="1"/>
        <w:spacing w:after="210" w:before="0" w:line="276" w:lineRule="auto"/>
        <w:ind w:firstLine="709"/>
        <w:contextualSpacing w:val="0"/>
        <w:jc w:val="right"/>
        <w:rPr>
          <w:sz w:val="28"/>
        </w:rPr>
      </w:pPr>
      <w:r>
        <w:rPr>
          <w:sz w:val="28"/>
        </w:rPr>
        <w:t xml:space="preserve">Прокуратура </w:t>
      </w:r>
      <w:r>
        <w:rPr>
          <w:sz w:val="28"/>
        </w:rPr>
        <w:t>Чагодощенского</w:t>
      </w:r>
      <w:r>
        <w:rPr>
          <w:sz w:val="28"/>
        </w:rPr>
        <w:t xml:space="preserve"> района</w:t>
      </w:r>
    </w:p>
    <w:sectPr>
      <w:headerReference r:id="rId1" w:type="default"/>
      <w:headerReference r:id="rId2" w:type="even"/>
      <w:pgSz w:h="16838" w:orient="portrait" w:w="11906"/>
      <w:pgMar w:bottom="1134" w:footer="720" w:gutter="0" w:header="720" w:left="1418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  <w:framePr w:h="0" w:hAnchor="margin" w:hSpace="0" w:vAnchor="text" w:vSpace="0" w:wrap="around" w:xAlign="center" w:y="1"/>
      <w:widowControl w:val="1"/>
      <w:pBdr>
        <w:top w:sz="4" w:val="nil"/>
        <w:left w:sz="4" w:val="nil"/>
        <w:bottom w:sz="4" w:val="nil"/>
        <w:right w:sz="4" w:val="nil"/>
        <w:between w:sz="4" w:val="nil"/>
      </w:pBdr>
      <w:ind/>
      <w:jc w:val="left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1000000">
    <w:pPr>
      <w:pStyle w:val="Style_1"/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1"/>
      <w:framePr w:h="0" w:hAnchor="margin" w:hSpace="0" w:vAnchor="text" w:vSpace="0" w:wrap="around" w:xAlign="center" w:y="1"/>
      <w:widowControl w:val="1"/>
      <w:pBdr>
        <w:top w:sz="4" w:val="nil"/>
        <w:left w:sz="4" w:val="nil"/>
        <w:bottom w:sz="4" w:val="nil"/>
        <w:right w:sz="4" w:val="nil"/>
        <w:between w:sz="4" w:val="nil"/>
      </w:pBdr>
      <w:ind/>
      <w:jc w:val="left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3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Style1"/>
    <w:basedOn w:val="Style_3"/>
    <w:link w:val="Style_6_ch"/>
    <w:pPr>
      <w:widowControl w:val="0"/>
      <w:spacing w:line="319" w:lineRule="exact"/>
      <w:ind w:firstLine="710"/>
      <w:jc w:val="both"/>
    </w:pPr>
    <w:rPr>
      <w:sz w:val="24"/>
    </w:rPr>
  </w:style>
  <w:style w:styleId="Style_6_ch" w:type="character">
    <w:name w:val="Style1"/>
    <w:basedOn w:val="Style_3_ch"/>
    <w:link w:val="Style_6"/>
    <w:rPr>
      <w:sz w:val="24"/>
    </w:rPr>
  </w:style>
  <w:style w:styleId="Style_7" w:type="paragraph">
    <w:name w:val="toc 6"/>
    <w:next w:val="Style_3"/>
    <w:link w:val="Style_7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3"/>
    <w:link w:val="Style_8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1" w:type="paragraph">
    <w:name w:val="header"/>
    <w:basedOn w:val="Style_3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3_ch"/>
    <w:link w:val="Style_1"/>
  </w:style>
  <w:style w:styleId="Style_9" w:type="paragraph">
    <w:name w:val="Endnote"/>
    <w:link w:val="Style_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basedOn w:val="Style_3"/>
    <w:next w:val="Style_3"/>
    <w:link w:val="Style_10_ch"/>
    <w:uiPriority w:val="9"/>
    <w:qFormat/>
    <w:pPr>
      <w:keepNext w:val="1"/>
      <w:widowControl w:val="1"/>
      <w:ind/>
      <w:outlineLvl w:val="2"/>
    </w:pPr>
    <w:rPr>
      <w:sz w:val="24"/>
    </w:rPr>
  </w:style>
  <w:style w:styleId="Style_10_ch" w:type="character">
    <w:name w:val="heading 3"/>
    <w:basedOn w:val="Style_3_ch"/>
    <w:link w:val="Style_10"/>
    <w:rPr>
      <w:sz w:val="24"/>
    </w:rPr>
  </w:style>
  <w:style w:styleId="Style_11" w:type="paragraph">
    <w:name w:val="подписи"/>
    <w:basedOn w:val="Style_3"/>
    <w:link w:val="Style_11_ch"/>
    <w:pPr>
      <w:widowControl w:val="1"/>
      <w:ind/>
      <w:jc w:val="both"/>
    </w:pPr>
  </w:style>
  <w:style w:styleId="Style_11_ch" w:type="character">
    <w:name w:val="подписи"/>
    <w:basedOn w:val="Style_3_ch"/>
    <w:link w:val="Style_11"/>
  </w:style>
  <w:style w:styleId="Style_12" w:type="paragraph">
    <w:name w:val="blk"/>
    <w:link w:val="Style_12_ch"/>
  </w:style>
  <w:style w:styleId="Style_12_ch" w:type="character">
    <w:name w:val="blk"/>
    <w:link w:val="Style_12"/>
  </w:style>
  <w:style w:styleId="Style_13" w:type="paragraph">
    <w:name w:val="Body Text"/>
    <w:basedOn w:val="Style_3"/>
    <w:link w:val="Style_13_ch"/>
    <w:pPr>
      <w:widowControl w:val="1"/>
      <w:ind/>
      <w:jc w:val="center"/>
    </w:pPr>
  </w:style>
  <w:style w:styleId="Style_13_ch" w:type="character">
    <w:name w:val="Body Text"/>
    <w:basedOn w:val="Style_3_ch"/>
    <w:link w:val="Style_13"/>
  </w:style>
  <w:style w:styleId="Style_14" w:type="paragraph">
    <w:name w:val="Normal (Web)"/>
    <w:basedOn w:val="Style_3"/>
    <w:link w:val="Style_14_ch"/>
    <w:pPr>
      <w:widowControl w:val="1"/>
      <w:spacing w:afterAutospacing="on" w:beforeAutospacing="on"/>
      <w:ind/>
    </w:pPr>
    <w:rPr>
      <w:sz w:val="24"/>
    </w:rPr>
  </w:style>
  <w:style w:styleId="Style_14_ch" w:type="character">
    <w:name w:val="Normal (Web)"/>
    <w:basedOn w:val="Style_3_ch"/>
    <w:link w:val="Style_14"/>
    <w:rPr>
      <w:sz w:val="24"/>
    </w:rPr>
  </w:style>
  <w:style w:styleId="Style_15" w:type="paragraph">
    <w:name w:val="Body Text 2"/>
    <w:basedOn w:val="Style_3"/>
    <w:link w:val="Style_15_ch"/>
    <w:pPr>
      <w:widowControl w:val="1"/>
      <w:ind/>
      <w:jc w:val="center"/>
    </w:pPr>
    <w:rPr>
      <w:sz w:val="36"/>
    </w:rPr>
  </w:style>
  <w:style w:styleId="Style_15_ch" w:type="character">
    <w:name w:val="Body Text 2"/>
    <w:basedOn w:val="Style_3_ch"/>
    <w:link w:val="Style_15"/>
    <w:rPr>
      <w:sz w:val="36"/>
    </w:rPr>
  </w:style>
  <w:style w:styleId="Style_16" w:type="paragraph">
    <w:name w:val="Balloon Text"/>
    <w:basedOn w:val="Style_3"/>
    <w:link w:val="Style_16_ch"/>
    <w:rPr>
      <w:rFonts w:ascii="Tahoma" w:hAnsi="Tahoma"/>
      <w:sz w:val="16"/>
    </w:rPr>
  </w:style>
  <w:style w:styleId="Style_16_ch" w:type="character">
    <w:name w:val="Balloon Text"/>
    <w:basedOn w:val="Style_3_ch"/>
    <w:link w:val="Style_16"/>
    <w:rPr>
      <w:rFonts w:ascii="Tahoma" w:hAnsi="Tahoma"/>
      <w:sz w:val="16"/>
    </w:rPr>
  </w:style>
  <w:style w:styleId="Style_17" w:type="paragraph">
    <w:name w:val="Standard"/>
    <w:link w:val="Style_17_ch"/>
    <w:pPr>
      <w:widowControl w:val="0"/>
      <w:ind/>
    </w:pPr>
    <w:rPr>
      <w:rFonts w:ascii="Liberation Serif" w:hAnsi="Liberation Serif"/>
      <w:color w:val="000000"/>
      <w:sz w:val="24"/>
    </w:rPr>
  </w:style>
  <w:style w:styleId="Style_17_ch" w:type="character">
    <w:name w:val="Standard"/>
    <w:link w:val="Style_17"/>
    <w:rPr>
      <w:rFonts w:ascii="Liberation Serif" w:hAnsi="Liberation Serif"/>
      <w:color w:val="000000"/>
      <w:sz w:val="24"/>
    </w:rPr>
  </w:style>
  <w:style w:styleId="Style_18" w:type="paragraph">
    <w:name w:val="toc 3"/>
    <w:next w:val="Style_3"/>
    <w:link w:val="Style_1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8_ch" w:type="character">
    <w:name w:val="toc 3"/>
    <w:link w:val="Style_18"/>
    <w:rPr>
      <w:rFonts w:ascii="XO Thames" w:hAnsi="XO Thames"/>
      <w:sz w:val="28"/>
    </w:rPr>
  </w:style>
  <w:style w:styleId="Style_19" w:type="paragraph">
    <w:name w:val="Body Text Indent 2"/>
    <w:basedOn w:val="Style_3"/>
    <w:link w:val="Style_19_ch"/>
    <w:pPr>
      <w:widowControl w:val="1"/>
      <w:ind w:left="4680"/>
      <w:jc w:val="both"/>
    </w:pPr>
    <w:rPr>
      <w:sz w:val="24"/>
    </w:rPr>
  </w:style>
  <w:style w:styleId="Style_19_ch" w:type="character">
    <w:name w:val="Body Text Indent 2"/>
    <w:basedOn w:val="Style_3_ch"/>
    <w:link w:val="Style_19"/>
    <w:rPr>
      <w:sz w:val="24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heading 5"/>
    <w:next w:val="Style_3"/>
    <w:link w:val="Style_21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1_ch" w:type="character">
    <w:name w:val="heading 5"/>
    <w:link w:val="Style_21"/>
    <w:rPr>
      <w:rFonts w:ascii="XO Thames" w:hAnsi="XO Thames"/>
      <w:b w:val="1"/>
      <w:sz w:val="22"/>
    </w:rPr>
  </w:style>
  <w:style w:styleId="Style_22" w:type="paragraph">
    <w:name w:val="heading 1"/>
    <w:basedOn w:val="Style_3"/>
    <w:next w:val="Style_3"/>
    <w:link w:val="Style_22_ch"/>
    <w:uiPriority w:val="9"/>
    <w:qFormat/>
    <w:pPr>
      <w:keepNext w:val="1"/>
      <w:widowControl w:val="1"/>
      <w:ind/>
      <w:jc w:val="center"/>
      <w:outlineLvl w:val="0"/>
    </w:pPr>
    <w:rPr>
      <w:sz w:val="24"/>
    </w:rPr>
  </w:style>
  <w:style w:styleId="Style_22_ch" w:type="character">
    <w:name w:val="heading 1"/>
    <w:basedOn w:val="Style_3_ch"/>
    <w:link w:val="Style_22"/>
    <w:rPr>
      <w:sz w:val="24"/>
    </w:rPr>
  </w:style>
  <w:style w:styleId="Style_2" w:type="paragraph">
    <w:name w:val="page number"/>
    <w:link w:val="Style_2_ch"/>
  </w:style>
  <w:style w:styleId="Style_2_ch" w:type="character">
    <w:name w:val="page number"/>
    <w:link w:val="Style_2"/>
  </w:style>
  <w:style w:styleId="Style_23" w:type="paragraph">
    <w:name w:val="Hyperlink"/>
    <w:link w:val="Style_23_ch"/>
    <w:rPr>
      <w:color w:val="0000FF"/>
      <w:u w:val="single"/>
    </w:rPr>
  </w:style>
  <w:style w:styleId="Style_23_ch" w:type="character">
    <w:name w:val="Hyperlink"/>
    <w:link w:val="Style_23"/>
    <w:rPr>
      <w:color w:val="0000FF"/>
      <w:u w:val="single"/>
    </w:rPr>
  </w:style>
  <w:style w:styleId="Style_24" w:type="paragraph">
    <w:name w:val="Footnote"/>
    <w:link w:val="Style_24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4_ch" w:type="character">
    <w:name w:val="Footnote"/>
    <w:link w:val="Style_24"/>
    <w:rPr>
      <w:rFonts w:ascii="XO Thames" w:hAnsi="XO Thames"/>
      <w:sz w:val="22"/>
    </w:rPr>
  </w:style>
  <w:style w:styleId="Style_25" w:type="paragraph">
    <w:name w:val="toc 1"/>
    <w:next w:val="Style_3"/>
    <w:link w:val="Style_25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Header and Footer"/>
    <w:link w:val="Style_26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6_ch" w:type="character">
    <w:name w:val="Header and Footer"/>
    <w:link w:val="Style_26"/>
    <w:rPr>
      <w:rFonts w:ascii="XO Thames" w:hAnsi="XO Thames"/>
      <w:sz w:val="28"/>
    </w:rPr>
  </w:style>
  <w:style w:styleId="Style_27" w:type="paragraph">
    <w:name w:val="toc 9"/>
    <w:next w:val="Style_3"/>
    <w:link w:val="Style_27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28" w:type="paragraph">
    <w:name w:val="No Spacing"/>
    <w:link w:val="Style_28_ch"/>
    <w:rPr>
      <w:rFonts w:ascii="Calibri" w:hAnsi="Calibri"/>
      <w:sz w:val="22"/>
    </w:rPr>
  </w:style>
  <w:style w:styleId="Style_28_ch" w:type="character">
    <w:name w:val="No Spacing"/>
    <w:link w:val="Style_28"/>
    <w:rPr>
      <w:rFonts w:ascii="Calibri" w:hAnsi="Calibri"/>
      <w:sz w:val="22"/>
    </w:rPr>
  </w:style>
  <w:style w:styleId="Style_29" w:type="paragraph">
    <w:name w:val="Emphasis"/>
    <w:link w:val="Style_29_ch"/>
    <w:rPr>
      <w:i w:val="1"/>
    </w:rPr>
  </w:style>
  <w:style w:styleId="Style_29_ch" w:type="character">
    <w:name w:val="Emphasis"/>
    <w:link w:val="Style_29"/>
    <w:rPr>
      <w:i w:val="1"/>
    </w:rPr>
  </w:style>
  <w:style w:styleId="Style_30" w:type="paragraph">
    <w:name w:val="toc 8"/>
    <w:next w:val="Style_3"/>
    <w:link w:val="Style_30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Body Text 3"/>
    <w:basedOn w:val="Style_3"/>
    <w:link w:val="Style_31_ch"/>
    <w:pPr>
      <w:widowControl w:val="1"/>
      <w:ind/>
      <w:jc w:val="both"/>
    </w:pPr>
    <w:rPr>
      <w:sz w:val="24"/>
    </w:rPr>
  </w:style>
  <w:style w:styleId="Style_31_ch" w:type="character">
    <w:name w:val="Body Text 3"/>
    <w:basedOn w:val="Style_3_ch"/>
    <w:link w:val="Style_31"/>
    <w:rPr>
      <w:sz w:val="24"/>
    </w:rPr>
  </w:style>
  <w:style w:styleId="Style_32" w:type="paragraph">
    <w:name w:val="toc 5"/>
    <w:next w:val="Style_3"/>
    <w:link w:val="Style_32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33" w:type="paragraph">
    <w:name w:val="Font Style43"/>
    <w:link w:val="Style_33_ch"/>
    <w:rPr>
      <w:rFonts w:ascii="Times New Roman" w:hAnsi="Times New Roman"/>
      <w:sz w:val="24"/>
    </w:rPr>
  </w:style>
  <w:style w:styleId="Style_33_ch" w:type="character">
    <w:name w:val="Font Style43"/>
    <w:link w:val="Style_33"/>
    <w:rPr>
      <w:rFonts w:ascii="Times New Roman" w:hAnsi="Times New Roman"/>
      <w:sz w:val="24"/>
    </w:rPr>
  </w:style>
  <w:style w:styleId="Style_34" w:type="paragraph">
    <w:name w:val="Body Text Indent"/>
    <w:basedOn w:val="Style_3"/>
    <w:link w:val="Style_34_ch"/>
    <w:pPr>
      <w:widowControl w:val="1"/>
      <w:ind w:firstLine="851" w:right="42"/>
      <w:jc w:val="both"/>
    </w:pPr>
    <w:rPr>
      <w:sz w:val="24"/>
    </w:rPr>
  </w:style>
  <w:style w:styleId="Style_34_ch" w:type="character">
    <w:name w:val="Body Text Indent"/>
    <w:basedOn w:val="Style_3_ch"/>
    <w:link w:val="Style_34"/>
    <w:rPr>
      <w:sz w:val="24"/>
    </w:rPr>
  </w:style>
  <w:style w:styleId="Style_35" w:type="paragraph">
    <w:name w:val="Body Text Indent 3"/>
    <w:basedOn w:val="Style_3"/>
    <w:link w:val="Style_35_ch"/>
    <w:pPr>
      <w:widowControl w:val="1"/>
      <w:ind w:left="4253"/>
    </w:pPr>
    <w:rPr>
      <w:sz w:val="24"/>
    </w:rPr>
  </w:style>
  <w:style w:styleId="Style_35_ch" w:type="character">
    <w:name w:val="Body Text Indent 3"/>
    <w:basedOn w:val="Style_3_ch"/>
    <w:link w:val="Style_35"/>
    <w:rPr>
      <w:sz w:val="24"/>
    </w:rPr>
  </w:style>
  <w:style w:styleId="Style_36" w:type="paragraph">
    <w:name w:val="Subtitle"/>
    <w:next w:val="Style_3"/>
    <w:link w:val="Style_36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6_ch" w:type="character">
    <w:name w:val="Subtitle"/>
    <w:link w:val="Style_36"/>
    <w:rPr>
      <w:rFonts w:ascii="XO Thames" w:hAnsi="XO Thames"/>
      <w:i w:val="1"/>
      <w:sz w:val="24"/>
    </w:rPr>
  </w:style>
  <w:style w:styleId="Style_37" w:type="paragraph">
    <w:name w:val="Title"/>
    <w:next w:val="Style_3"/>
    <w:link w:val="Style_37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7_ch" w:type="character">
    <w:name w:val="Title"/>
    <w:link w:val="Style_37"/>
    <w:rPr>
      <w:rFonts w:ascii="XO Thames" w:hAnsi="XO Thames"/>
      <w:b w:val="1"/>
      <w:caps w:val="1"/>
      <w:sz w:val="40"/>
    </w:rPr>
  </w:style>
  <w:style w:styleId="Style_38" w:type="paragraph">
    <w:name w:val="heading 4"/>
    <w:basedOn w:val="Style_3"/>
    <w:next w:val="Style_3"/>
    <w:link w:val="Style_38_ch"/>
    <w:uiPriority w:val="9"/>
    <w:qFormat/>
    <w:pPr>
      <w:keepNext w:val="1"/>
      <w:widowControl w:val="1"/>
      <w:ind/>
      <w:jc w:val="both"/>
      <w:outlineLvl w:val="3"/>
    </w:pPr>
    <w:rPr>
      <w:sz w:val="28"/>
    </w:rPr>
  </w:style>
  <w:style w:styleId="Style_38_ch" w:type="character">
    <w:name w:val="heading 4"/>
    <w:basedOn w:val="Style_3_ch"/>
    <w:link w:val="Style_38"/>
    <w:rPr>
      <w:sz w:val="28"/>
    </w:rPr>
  </w:style>
  <w:style w:styleId="Style_39" w:type="paragraph">
    <w:name w:val="heading 2"/>
    <w:basedOn w:val="Style_3"/>
    <w:next w:val="Style_3"/>
    <w:link w:val="Style_39_ch"/>
    <w:uiPriority w:val="9"/>
    <w:qFormat/>
    <w:pPr>
      <w:keepNext w:val="1"/>
      <w:widowControl w:val="1"/>
      <w:ind/>
      <w:outlineLvl w:val="1"/>
    </w:pPr>
    <w:rPr>
      <w:b w:val="1"/>
      <w:sz w:val="24"/>
    </w:rPr>
  </w:style>
  <w:style w:styleId="Style_39_ch" w:type="character">
    <w:name w:val="heading 2"/>
    <w:basedOn w:val="Style_3_ch"/>
    <w:link w:val="Style_39"/>
    <w:rPr>
      <w:b w:val="1"/>
      <w:sz w:val="24"/>
    </w:rPr>
  </w:style>
  <w:style w:default="1" w:styleId="Style_4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header2.xml" Type="http://schemas.openxmlformats.org/officeDocument/2006/relationships/head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2026-06-19T07:38:52Z</dcterms:created>
  <dcterms:modified xsi:type="dcterms:W3CDTF">2026-06-19T07:38:52Z</dcterms:modified>
</cp:coreProperties>
</file>